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0"/>
      </w:pPr>
      <w:r>
        <w:rPr>
          <w:b w:val="0"/>
          <w:i w:val="0"/>
          <w:color w:val="505152"/>
          <w:sz w:val="16"/>
        </w:rPr>
        <w:t>Échelle.com · Version 1.0 du 1er octobre 2026 · echelle.com/pro/documents/fiche-verification-echelles/</w:t>
      </w:r>
    </w:p>
    <w:p>
      <w:pPr>
        <w:spacing w:after="80" w:before="0"/>
      </w:pPr>
      <w:r>
        <w:rPr>
          <w:b/>
          <w:i w:val="0"/>
          <w:color w:val="1C4677"/>
          <w:sz w:val="30"/>
        </w:rPr>
        <w:t>Fiche de contrôle d'échelle, d'escabeau ou de PIRL</w:t>
      </w:r>
    </w:p>
    <w:tbl>
      <w:tblPr>
        <w:tblStyle w:val="TableGrid"/>
        <w:tblW w:type="auto" w:w="0"/>
        <w:tblLook w:firstColumn="1" w:firstRow="1" w:lastColumn="0" w:lastRow="0" w:noHBand="0" w:noVBand="1" w:val="04A0"/>
      </w:tblPr>
      <w:tblGrid>
        <w:gridCol w:w="10092"/>
      </w:tblGrid>
      <w:tr>
        <w:tc>
          <w:tcPr>
            <w:tcW w:type="dxa" w:w="10092"/>
            <w:shd w:val="clear" w:color="auto" w:fill="E9E5DC"/>
          </w:tcPr>
          <w:p>
            <w:pPr>
              <w:spacing w:after="0"/>
            </w:pPr>
            <w:r/>
            <w:r>
              <w:rPr>
                <w:b w:val="0"/>
                <w:sz w:val="17"/>
              </w:rPr>
              <w:t>Modèle générique, à adapter à votre chantier et à votre évaluation des risques. Il ne remplace ni la notice du fabricant ni les documents exigés par votre client ou votre organisme de prévention.</w:t>
            </w:r>
          </w:p>
        </w:tc>
      </w:tr>
    </w:tbl>
    <w:p>
      <w:pPr>
        <w:spacing w:after="0" w:before="0"/>
      </w:pPr>
      <w:r>
        <w:rPr>
          <w:b w:val="0"/>
          <w:i w:val="0"/>
          <w:sz w:val="8"/>
        </w:rPr>
      </w:r>
    </w:p>
    <w:p>
      <w:pPr>
        <w:spacing w:after="60" w:before="0"/>
      </w:pPr>
      <w:r>
        <w:rPr>
          <w:b w:val="0"/>
          <w:i/>
          <w:sz w:val="19"/>
        </w:rPr>
        <w:t>Une fiche par équipement et par contrôle. Contrôle formalisé au moins tous les 12 mois (recommandation OPPBTP), à la mise en service, et après toute chute, tout choc ou tout remplacement de pièce.</w:t>
      </w:r>
    </w:p>
    <w:p>
      <w:pPr>
        <w:spacing w:after="40" w:before="120"/>
      </w:pPr>
      <w:r>
        <w:rPr>
          <w:b/>
          <w:i w:val="0"/>
          <w:sz w:val="22"/>
        </w:rPr>
        <w:t>1. L'équipement</w:t>
      </w:r>
    </w:p>
    <w:tbl>
      <w:tblPr>
        <w:tblStyle w:val="TableGrid"/>
        <w:tblW w:type="auto" w:w="0"/>
        <w:tblLook w:firstColumn="1" w:firstRow="1" w:lastColumn="0" w:lastRow="0" w:noHBand="0" w:noVBand="1" w:val="04A0"/>
      </w:tblPr>
      <w:tblGrid>
        <w:gridCol w:w="5046"/>
        <w:gridCol w:w="5046"/>
      </w:tblGrid>
      <w:tr>
        <w:tc>
          <w:tcPr>
            <w:tcW w:type="dxa" w:w="3628"/>
            <w:shd w:val="clear" w:color="auto" w:fill="F8F6F1"/>
          </w:tcPr>
          <w:p>
            <w:pPr>
              <w:spacing w:after="0"/>
            </w:pPr>
            <w:r/>
            <w:r>
              <w:rPr>
                <w:b/>
                <w:sz w:val="17"/>
              </w:rPr>
              <w:t>N° d'identification interne</w:t>
            </w:r>
          </w:p>
        </w:tc>
        <w:tc>
          <w:tcPr>
            <w:tcW w:type="dxa" w:w="6463"/>
          </w:tcPr>
          <w:p>
            <w:pPr>
              <w:spacing w:after="0"/>
            </w:pPr>
            <w:r/>
            <w:r>
              <w:rPr>
                <w:b w:val="0"/>
                <w:sz w:val="17"/>
              </w:rPr>
            </w:r>
          </w:p>
        </w:tc>
      </w:tr>
      <w:tr>
        <w:tc>
          <w:tcPr>
            <w:tcW w:type="dxa" w:w="3628"/>
            <w:shd w:val="clear" w:color="auto" w:fill="F8F6F1"/>
          </w:tcPr>
          <w:p>
            <w:pPr>
              <w:spacing w:after="0"/>
            </w:pPr>
            <w:r/>
            <w:r>
              <w:rPr>
                <w:b/>
                <w:sz w:val="17"/>
              </w:rPr>
              <w:t>Type</w:t>
            </w:r>
          </w:p>
        </w:tc>
        <w:tc>
          <w:tcPr>
            <w:tcW w:type="dxa" w:w="6463"/>
          </w:tcPr>
          <w:p>
            <w:pPr>
              <w:spacing w:after="0"/>
            </w:pPr>
            <w:r/>
            <w:r>
              <w:rPr>
                <w:b w:val="0"/>
                <w:sz w:val="17"/>
              </w:rPr>
              <w:t>☐ échelle simple   ☐ coulissante   ☐ transformable   ☐ télescopique   ☐ escabeau   ☐ marchepied   ☐ PIRL   ☐ PIR</w:t>
            </w:r>
          </w:p>
        </w:tc>
      </w:tr>
      <w:tr>
        <w:tc>
          <w:tcPr>
            <w:tcW w:type="dxa" w:w="3628"/>
            <w:shd w:val="clear" w:color="auto" w:fill="F8F6F1"/>
          </w:tcPr>
          <w:p>
            <w:pPr>
              <w:spacing w:after="0"/>
            </w:pPr>
            <w:r/>
            <w:r>
              <w:rPr>
                <w:b/>
                <w:sz w:val="17"/>
              </w:rPr>
              <w:t>Marque et modèle</w:t>
            </w:r>
          </w:p>
        </w:tc>
        <w:tc>
          <w:tcPr>
            <w:tcW w:type="dxa" w:w="6463"/>
          </w:tcPr>
          <w:p>
            <w:pPr>
              <w:spacing w:after="0"/>
            </w:pPr>
            <w:r/>
            <w:r>
              <w:rPr>
                <w:b w:val="0"/>
                <w:sz w:val="17"/>
              </w:rPr>
            </w:r>
          </w:p>
        </w:tc>
      </w:tr>
      <w:tr>
        <w:tc>
          <w:tcPr>
            <w:tcW w:type="dxa" w:w="3628"/>
            <w:shd w:val="clear" w:color="auto" w:fill="F8F6F1"/>
          </w:tcPr>
          <w:p>
            <w:pPr>
              <w:spacing w:after="0"/>
            </w:pPr>
            <w:r/>
            <w:r>
              <w:rPr>
                <w:b/>
                <w:sz w:val="17"/>
              </w:rPr>
              <w:t>Lot ou n° de série, année</w:t>
            </w:r>
          </w:p>
        </w:tc>
        <w:tc>
          <w:tcPr>
            <w:tcW w:type="dxa" w:w="6463"/>
          </w:tcPr>
          <w:p>
            <w:pPr>
              <w:spacing w:after="0"/>
            </w:pPr>
            <w:r/>
            <w:r>
              <w:rPr>
                <w:b w:val="0"/>
                <w:sz w:val="17"/>
              </w:rPr>
            </w:r>
          </w:p>
        </w:tc>
      </w:tr>
      <w:tr>
        <w:tc>
          <w:tcPr>
            <w:tcW w:type="dxa" w:w="3628"/>
            <w:shd w:val="clear" w:color="auto" w:fill="F8F6F1"/>
          </w:tcPr>
          <w:p>
            <w:pPr>
              <w:spacing w:after="0"/>
            </w:pPr>
            <w:r/>
            <w:r>
              <w:rPr>
                <w:b/>
                <w:sz w:val="17"/>
              </w:rPr>
              <w:t>Norme indiquée au marquage</w:t>
            </w:r>
          </w:p>
        </w:tc>
        <w:tc>
          <w:tcPr>
            <w:tcW w:type="dxa" w:w="6463"/>
          </w:tcPr>
          <w:p>
            <w:pPr>
              <w:spacing w:after="0"/>
            </w:pPr>
            <w:r/>
            <w:r>
              <w:rPr>
                <w:b w:val="0"/>
                <w:sz w:val="17"/>
              </w:rPr>
            </w:r>
          </w:p>
        </w:tc>
      </w:tr>
      <w:tr>
        <w:tc>
          <w:tcPr>
            <w:tcW w:type="dxa" w:w="3628"/>
            <w:shd w:val="clear" w:color="auto" w:fill="F8F6F1"/>
          </w:tcPr>
          <w:p>
            <w:pPr>
              <w:spacing w:after="0"/>
            </w:pPr>
            <w:r/>
            <w:r>
              <w:rPr>
                <w:b/>
                <w:sz w:val="17"/>
              </w:rPr>
              <w:t>Charge maximale indiquée (kg)</w:t>
            </w:r>
          </w:p>
        </w:tc>
        <w:tc>
          <w:tcPr>
            <w:tcW w:type="dxa" w:w="6463"/>
          </w:tcPr>
          <w:p>
            <w:pPr>
              <w:spacing w:after="0"/>
            </w:pPr>
            <w:r/>
            <w:r>
              <w:rPr>
                <w:b w:val="0"/>
                <w:sz w:val="17"/>
              </w:rPr>
            </w:r>
          </w:p>
        </w:tc>
      </w:tr>
      <w:tr>
        <w:tc>
          <w:tcPr>
            <w:tcW w:type="dxa" w:w="3628"/>
            <w:shd w:val="clear" w:color="auto" w:fill="F8F6F1"/>
          </w:tcPr>
          <w:p>
            <w:pPr>
              <w:spacing w:after="0"/>
            </w:pPr>
            <w:r/>
            <w:r>
              <w:rPr>
                <w:b/>
                <w:sz w:val="17"/>
              </w:rPr>
              <w:t>Mise en service le / affectation</w:t>
            </w:r>
          </w:p>
        </w:tc>
        <w:tc>
          <w:tcPr>
            <w:tcW w:type="dxa" w:w="6463"/>
          </w:tcPr>
          <w:p>
            <w:pPr>
              <w:spacing w:after="0"/>
            </w:pPr>
            <w:r/>
            <w:r>
              <w:rPr>
                <w:b w:val="0"/>
                <w:sz w:val="17"/>
              </w:rPr>
            </w:r>
          </w:p>
        </w:tc>
      </w:tr>
      <w:tr>
        <w:tc>
          <w:tcPr>
            <w:tcW w:type="dxa" w:w="3628"/>
            <w:shd w:val="clear" w:color="auto" w:fill="F8F6F1"/>
          </w:tcPr>
          <w:p>
            <w:pPr>
              <w:spacing w:after="0"/>
            </w:pPr>
            <w:r/>
            <w:r>
              <w:rPr>
                <w:b/>
                <w:sz w:val="17"/>
              </w:rPr>
              <w:t>Notice du fabricant disponible</w:t>
            </w:r>
          </w:p>
        </w:tc>
        <w:tc>
          <w:tcPr>
            <w:tcW w:type="dxa" w:w="6463"/>
          </w:tcPr>
          <w:p>
            <w:pPr>
              <w:spacing w:after="0"/>
            </w:pPr>
            <w:r/>
            <w:r>
              <w:rPr>
                <w:b w:val="0"/>
                <w:sz w:val="17"/>
              </w:rPr>
              <w:t>☐ oui   ☐ non (la demander au fabricant ou au vendeur)</w:t>
            </w:r>
          </w:p>
        </w:tc>
      </w:tr>
    </w:tbl>
    <w:p>
      <w:pPr>
        <w:spacing w:after="0" w:before="0"/>
      </w:pPr>
      <w:r>
        <w:rPr>
          <w:b w:val="0"/>
          <w:i w:val="0"/>
          <w:sz w:val="8"/>
        </w:rPr>
      </w:r>
    </w:p>
    <w:p>
      <w:pPr>
        <w:spacing w:after="40" w:before="120"/>
      </w:pPr>
      <w:r>
        <w:rPr>
          <w:b/>
          <w:i w:val="0"/>
          <w:sz w:val="22"/>
        </w:rPr>
        <w:t>2. Le contrôle</w:t>
      </w:r>
    </w:p>
    <w:tbl>
      <w:tblPr>
        <w:tblStyle w:val="TableGrid"/>
        <w:tblW w:type="auto" w:w="0"/>
        <w:tblLook w:firstColumn="1" w:firstRow="1" w:lastColumn="0" w:lastRow="0" w:noHBand="0" w:noVBand="1" w:val="04A0"/>
      </w:tblPr>
      <w:tblGrid>
        <w:gridCol w:w="5046"/>
        <w:gridCol w:w="5046"/>
      </w:tblGrid>
      <w:tr>
        <w:tc>
          <w:tcPr>
            <w:tcW w:type="dxa" w:w="3628"/>
            <w:shd w:val="clear" w:color="auto" w:fill="F8F6F1"/>
          </w:tcPr>
          <w:p>
            <w:pPr>
              <w:spacing w:after="0"/>
            </w:pPr>
            <w:r/>
            <w:r>
              <w:rPr>
                <w:b/>
                <w:sz w:val="17"/>
              </w:rPr>
              <w:t>Date du contrôle</w:t>
            </w:r>
          </w:p>
        </w:tc>
        <w:tc>
          <w:tcPr>
            <w:tcW w:type="dxa" w:w="6463"/>
          </w:tcPr>
          <w:p>
            <w:pPr>
              <w:spacing w:after="0"/>
            </w:pPr>
            <w:r/>
            <w:r>
              <w:rPr>
                <w:b w:val="0"/>
                <w:sz w:val="17"/>
              </w:rPr>
            </w:r>
          </w:p>
        </w:tc>
      </w:tr>
      <w:tr>
        <w:tc>
          <w:tcPr>
            <w:tcW w:type="dxa" w:w="3628"/>
            <w:shd w:val="clear" w:color="auto" w:fill="F8F6F1"/>
          </w:tcPr>
          <w:p>
            <w:pPr>
              <w:spacing w:after="0"/>
            </w:pPr>
            <w:r/>
            <w:r>
              <w:rPr>
                <w:b/>
                <w:sz w:val="17"/>
              </w:rPr>
              <w:t>Vérificateur (nom, fonction)</w:t>
            </w:r>
          </w:p>
        </w:tc>
        <w:tc>
          <w:tcPr>
            <w:tcW w:type="dxa" w:w="6463"/>
          </w:tcPr>
          <w:p>
            <w:pPr>
              <w:spacing w:after="0"/>
            </w:pPr>
            <w:r/>
            <w:r>
              <w:rPr>
                <w:b w:val="0"/>
                <w:sz w:val="17"/>
              </w:rPr>
            </w:r>
          </w:p>
        </w:tc>
      </w:tr>
      <w:tr>
        <w:tc>
          <w:tcPr>
            <w:tcW w:type="dxa" w:w="3628"/>
            <w:shd w:val="clear" w:color="auto" w:fill="F8F6F1"/>
          </w:tcPr>
          <w:p>
            <w:pPr>
              <w:spacing w:after="0"/>
            </w:pPr>
            <w:r/>
            <w:r>
              <w:rPr>
                <w:b/>
                <w:sz w:val="17"/>
              </w:rPr>
              <w:t>Motif</w:t>
            </w:r>
          </w:p>
        </w:tc>
        <w:tc>
          <w:tcPr>
            <w:tcW w:type="dxa" w:w="6463"/>
          </w:tcPr>
          <w:p>
            <w:pPr>
              <w:spacing w:after="0"/>
            </w:pPr>
            <w:r/>
            <w:r>
              <w:rPr>
                <w:b w:val="0"/>
                <w:sz w:val="17"/>
              </w:rPr>
              <w:t>☐ périodique   ☐ mise en service   ☐ après une chute ou un choc   ☐ après remplacement d'une pièce   ☐ autre</w:t>
            </w:r>
          </w:p>
        </w:tc>
      </w:tr>
    </w:tbl>
    <w:p>
      <w:pPr>
        <w:spacing w:after="0" w:before="0"/>
      </w:pPr>
      <w:r>
        <w:rPr>
          <w:b w:val="0"/>
          <w:i w:val="0"/>
          <w:sz w:val="8"/>
        </w:rPr>
      </w:r>
    </w:p>
    <w:p>
      <w:pPr>
        <w:spacing w:after="40" w:before="120"/>
      </w:pPr>
      <w:r>
        <w:rPr>
          <w:b/>
          <w:i w:val="0"/>
          <w:sz w:val="22"/>
        </w:rPr>
        <w:t>3. Les points à contrôler</w:t>
      </w:r>
    </w:p>
    <w:p>
      <w:pPr>
        <w:spacing w:after="60" w:before="0"/>
      </w:pPr>
      <w:r>
        <w:rPr>
          <w:b w:val="0"/>
          <w:i w:val="0"/>
          <w:sz w:val="19"/>
        </w:rPr>
        <w:t>OK = conforme · R = à réparer (pièce d'usure prévue par la notice) · HS = hors service. Les numéros 1 à 11 sont ceux du schéma de la page en ligne.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c>
          <w:tcPr>
            <w:tcW w:type="dxa" w:w="577"/>
            <w:shd w:val="clear" w:color="auto" w:fill="EFECE5"/>
          </w:tcPr>
          <w:p>
            <w:pPr>
              <w:spacing w:after="0"/>
            </w:pPr>
            <w:r/>
            <w:r>
              <w:rPr>
                <w:b/>
                <w:sz w:val="17"/>
              </w:rPr>
              <w:t>N°</w:t>
            </w:r>
          </w:p>
        </w:tc>
        <w:tc>
          <w:tcPr>
            <w:tcW w:type="dxa" w:w="5536"/>
            <w:shd w:val="clear" w:color="auto" w:fill="EFECE5"/>
          </w:tcPr>
          <w:p>
            <w:pPr>
              <w:spacing w:after="0"/>
            </w:pPr>
            <w:r/>
            <w:r>
              <w:rPr>
                <w:b/>
                <w:sz w:val="17"/>
              </w:rPr>
              <w:t>Point de contrôle</w:t>
            </w:r>
          </w:p>
        </w:tc>
        <w:tc>
          <w:tcPr>
            <w:tcW w:type="dxa" w:w="519"/>
            <w:shd w:val="clear" w:color="auto" w:fill="EFECE5"/>
          </w:tcPr>
          <w:p>
            <w:pPr>
              <w:spacing w:after="0"/>
            </w:pPr>
            <w:r/>
            <w:r>
              <w:rPr>
                <w:b/>
                <w:sz w:val="17"/>
              </w:rPr>
              <w:t>OK</w:t>
            </w:r>
          </w:p>
        </w:tc>
        <w:tc>
          <w:tcPr>
            <w:tcW w:type="dxa" w:w="519"/>
            <w:shd w:val="clear" w:color="auto" w:fill="EFECE5"/>
          </w:tcPr>
          <w:p>
            <w:pPr>
              <w:spacing w:after="0"/>
            </w:pPr>
            <w:r/>
            <w:r>
              <w:rPr>
                <w:b/>
                <w:sz w:val="17"/>
              </w:rPr>
              <w:t>R</w:t>
            </w:r>
          </w:p>
        </w:tc>
        <w:tc>
          <w:tcPr>
            <w:tcW w:type="dxa" w:w="519"/>
            <w:shd w:val="clear" w:color="auto" w:fill="EFECE5"/>
          </w:tcPr>
          <w:p>
            <w:pPr>
              <w:spacing w:after="0"/>
            </w:pPr>
            <w:r/>
            <w:r>
              <w:rPr>
                <w:b/>
                <w:sz w:val="17"/>
              </w:rPr>
              <w:t>HS</w:t>
            </w:r>
          </w:p>
        </w:tc>
        <w:tc>
          <w:tcPr>
            <w:tcW w:type="dxa" w:w="2422"/>
            <w:shd w:val="clear" w:color="auto" w:fill="EFECE5"/>
          </w:tcPr>
          <w:p>
            <w:pPr>
              <w:spacing w:after="0"/>
            </w:pPr>
            <w:r/>
            <w:r>
              <w:rPr>
                <w:b/>
                <w:sz w:val="17"/>
              </w:rPr>
              <w:t>Observations</w:t>
            </w:r>
          </w:p>
        </w:tc>
      </w:tr>
      <w:tr>
        <w:tc>
          <w:tcPr>
            <w:tcW w:type="dxa" w:w="577"/>
          </w:tcPr>
          <w:p>
            <w:pPr>
              <w:spacing w:after="0"/>
            </w:pPr>
            <w:r/>
            <w:r>
              <w:rPr>
                <w:b w:val="0"/>
                <w:sz w:val="17"/>
              </w:rPr>
              <w:t>1</w:t>
            </w:r>
          </w:p>
        </w:tc>
        <w:tc>
          <w:tcPr>
            <w:tcW w:type="dxa" w:w="5536"/>
          </w:tcPr>
          <w:p>
            <w:pPr>
              <w:spacing w:after="0"/>
            </w:pPr>
            <w:r/>
            <w:r>
              <w:rPr>
                <w:b w:val="0"/>
                <w:sz w:val="17"/>
              </w:rPr>
              <w:t>Montants : ni tordus, ni fendus, ni enfoncés, sans trace de choc</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2</w:t>
            </w:r>
          </w:p>
        </w:tc>
        <w:tc>
          <w:tcPr>
            <w:tcW w:type="dxa" w:w="5536"/>
          </w:tcPr>
          <w:p>
            <w:pPr>
              <w:spacing w:after="0"/>
            </w:pPr>
            <w:r/>
            <w:r>
              <w:rPr>
                <w:b w:val="0"/>
                <w:sz w:val="17"/>
              </w:rPr>
              <w:t>Échelons : tous présents, bien fixés, sans jeu ni fissure, propres</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3</w:t>
            </w:r>
          </w:p>
        </w:tc>
        <w:tc>
          <w:tcPr>
            <w:tcW w:type="dxa" w:w="5536"/>
          </w:tcPr>
          <w:p>
            <w:pPr>
              <w:spacing w:after="0"/>
            </w:pPr>
            <w:r/>
            <w:r>
              <w:rPr>
                <w:b w:val="0"/>
                <w:sz w:val="17"/>
              </w:rPr>
              <w:t>Patins, sabots ou embouts : présents, non usés, non arrachés</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4</w:t>
            </w:r>
          </w:p>
        </w:tc>
        <w:tc>
          <w:tcPr>
            <w:tcW w:type="dxa" w:w="5536"/>
          </w:tcPr>
          <w:p>
            <w:pPr>
              <w:spacing w:after="0"/>
            </w:pPr>
            <w:r/>
            <w:r>
              <w:rPr>
                <w:b w:val="0"/>
                <w:sz w:val="17"/>
              </w:rPr>
              <w:t>Crochets, verrous, systèmes de réglage (coulissante, transformable, télescopique) : s'enclenchent</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5</w:t>
            </w:r>
          </w:p>
        </w:tc>
        <w:tc>
          <w:tcPr>
            <w:tcW w:type="dxa" w:w="5536"/>
          </w:tcPr>
          <w:p>
            <w:pPr>
              <w:spacing w:after="0"/>
            </w:pPr>
            <w:r/>
            <w:r>
              <w:rPr>
                <w:b w:val="0"/>
                <w:sz w:val="17"/>
              </w:rPr>
              <w:t>Barre stabilisatrice (échelle d'appui de plus de 3 m) : présente, fixée</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6</w:t>
            </w:r>
          </w:p>
        </w:tc>
        <w:tc>
          <w:tcPr>
            <w:tcW w:type="dxa" w:w="5536"/>
          </w:tcPr>
          <w:p>
            <w:pPr>
              <w:spacing w:after="0"/>
            </w:pPr>
            <w:r/>
            <w:r>
              <w:rPr>
                <w:b w:val="0"/>
                <w:sz w:val="17"/>
              </w:rPr>
              <w:t>Marquage lisible : charge maximale en kg, modèle, lot, responsable de la mise sur le marché, consignes</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7</w:t>
            </w:r>
          </w:p>
        </w:tc>
        <w:tc>
          <w:tcPr>
            <w:tcW w:type="dxa" w:w="5536"/>
          </w:tcPr>
          <w:p>
            <w:pPr>
              <w:spacing w:after="0"/>
            </w:pPr>
            <w:r/>
            <w:r>
              <w:rPr>
                <w:b w:val="0"/>
                <w:sz w:val="17"/>
              </w:rPr>
              <w:t>Escabeau : articulations et charnières sans jeu anormal ni déformation</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8</w:t>
            </w:r>
          </w:p>
        </w:tc>
        <w:tc>
          <w:tcPr>
            <w:tcW w:type="dxa" w:w="5536"/>
          </w:tcPr>
          <w:p>
            <w:pPr>
              <w:spacing w:after="0"/>
            </w:pPr>
            <w:r/>
            <w:r>
              <w:rPr>
                <w:b w:val="0"/>
                <w:sz w:val="17"/>
              </w:rPr>
              <w:t>Escabeau : dispositif anti-écartement (sangles, compas, verrous) présent et intact</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9</w:t>
            </w:r>
          </w:p>
        </w:tc>
        <w:tc>
          <w:tcPr>
            <w:tcW w:type="dxa" w:w="5536"/>
          </w:tcPr>
          <w:p>
            <w:pPr>
              <w:spacing w:after="0"/>
            </w:pPr>
            <w:r/>
            <w:r>
              <w:rPr>
                <w:b w:val="0"/>
                <w:sz w:val="17"/>
              </w:rPr>
              <w:t>Escabeau : plateforme ni fendue ni voilée, bien fixée</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10</w:t>
            </w:r>
          </w:p>
        </w:tc>
        <w:tc>
          <w:tcPr>
            <w:tcW w:type="dxa" w:w="5536"/>
          </w:tcPr>
          <w:p>
            <w:pPr>
              <w:spacing w:after="0"/>
            </w:pPr>
            <w:r/>
            <w:r>
              <w:rPr>
                <w:b w:val="0"/>
                <w:sz w:val="17"/>
              </w:rPr>
              <w:t>Escabeau : marches bien fixées, antidérapantes, propres</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11</w:t>
            </w:r>
          </w:p>
        </w:tc>
        <w:tc>
          <w:tcPr>
            <w:tcW w:type="dxa" w:w="5536"/>
          </w:tcPr>
          <w:p>
            <w:pPr>
              <w:spacing w:after="0"/>
            </w:pPr>
            <w:r/>
            <w:r>
              <w:rPr>
                <w:b w:val="0"/>
                <w:sz w:val="17"/>
              </w:rPr>
              <w:t>Escabeau : arceau rigide et bien fixé</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12</w:t>
            </w:r>
          </w:p>
        </w:tc>
        <w:tc>
          <w:tcPr>
            <w:tcW w:type="dxa" w:w="5536"/>
          </w:tcPr>
          <w:p>
            <w:pPr>
              <w:spacing w:after="0"/>
            </w:pPr>
            <w:r/>
            <w:r>
              <w:rPr>
                <w:b w:val="0"/>
                <w:sz w:val="17"/>
              </w:rPr>
              <w:t>PIRL, PIR : garde-corps complet (main courante, lisse intermédiaire, plinthe), sans déformation</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13</w:t>
            </w:r>
          </w:p>
        </w:tc>
        <w:tc>
          <w:tcPr>
            <w:tcW w:type="dxa" w:w="5536"/>
          </w:tcPr>
          <w:p>
            <w:pPr>
              <w:spacing w:after="0"/>
            </w:pPr>
            <w:r/>
            <w:r>
              <w:rPr>
                <w:b w:val="0"/>
                <w:sz w:val="17"/>
              </w:rPr>
              <w:t>PIRL, PIR : portillon ou fermeture d'accès qui se referme</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14</w:t>
            </w:r>
          </w:p>
        </w:tc>
        <w:tc>
          <w:tcPr>
            <w:tcW w:type="dxa" w:w="5536"/>
          </w:tcPr>
          <w:p>
            <w:pPr>
              <w:spacing w:after="0"/>
            </w:pPr>
            <w:r/>
            <w:r>
              <w:rPr>
                <w:b w:val="0"/>
                <w:sz w:val="17"/>
              </w:rPr>
              <w:t>PIRL, PIR : stabilisateurs qui se déploient et se verrouillent</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15</w:t>
            </w:r>
          </w:p>
        </w:tc>
        <w:tc>
          <w:tcPr>
            <w:tcW w:type="dxa" w:w="5536"/>
          </w:tcPr>
          <w:p>
            <w:pPr>
              <w:spacing w:after="0"/>
            </w:pPr>
            <w:r/>
            <w:r>
              <w:rPr>
                <w:b w:val="0"/>
                <w:sz w:val="17"/>
              </w:rPr>
              <w:t>PIRL, PIR : roues libres, qui ne portent pas en position de travail</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16</w:t>
            </w:r>
          </w:p>
        </w:tc>
        <w:tc>
          <w:tcPr>
            <w:tcW w:type="dxa" w:w="5536"/>
          </w:tcPr>
          <w:p>
            <w:pPr>
              <w:spacing w:after="0"/>
            </w:pPr>
            <w:r/>
            <w:r>
              <w:rPr>
                <w:b w:val="0"/>
                <w:sz w:val="17"/>
              </w:rPr>
              <w:t>PIRL, PIR : marches d'accès, main courante et bac à outils en place</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17</w:t>
            </w:r>
          </w:p>
        </w:tc>
        <w:tc>
          <w:tcPr>
            <w:tcW w:type="dxa" w:w="5536"/>
          </w:tcPr>
          <w:p>
            <w:pPr>
              <w:spacing w:after="0"/>
            </w:pPr>
            <w:r/>
            <w:r>
              <w:rPr>
                <w:b w:val="0"/>
                <w:sz w:val="17"/>
              </w:rPr>
              <w:t>Échelle à corde : corde ni effilochée ni coupée, poulie libre</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18</w:t>
            </w:r>
          </w:p>
        </w:tc>
        <w:tc>
          <w:tcPr>
            <w:tcW w:type="dxa" w:w="5536"/>
          </w:tcPr>
          <w:p>
            <w:pPr>
              <w:spacing w:after="0"/>
            </w:pPr>
            <w:r/>
            <w:r>
              <w:rPr>
                <w:b w:val="0"/>
                <w:sz w:val="17"/>
              </w:rPr>
              <w:t>Soudures, rivets, vis et écrous : sans amorce de rupture, rien de desserré ni de manquant</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r>
        <w:tc>
          <w:tcPr>
            <w:tcW w:type="dxa" w:w="577"/>
          </w:tcPr>
          <w:p>
            <w:pPr>
              <w:spacing w:after="0"/>
            </w:pPr>
            <w:r/>
            <w:r>
              <w:rPr>
                <w:b w:val="0"/>
                <w:sz w:val="17"/>
              </w:rPr>
              <w:t>19</w:t>
            </w:r>
          </w:p>
        </w:tc>
        <w:tc>
          <w:tcPr>
            <w:tcW w:type="dxa" w:w="5536"/>
          </w:tcPr>
          <w:p>
            <w:pPr>
              <w:spacing w:after="0"/>
            </w:pPr>
            <w:r/>
            <w:r>
              <w:rPr>
                <w:b w:val="0"/>
                <w:sz w:val="17"/>
              </w:rPr>
              <w:t>Aucune réparation de fortune (fil de fer, ruban adhésif, pièce d'une autre marque)</w:t>
            </w:r>
          </w:p>
        </w:tc>
        <w:tc>
          <w:tcPr>
            <w:tcW w:type="dxa" w:w="519"/>
          </w:tcPr>
          <w:p>
            <w:pPr>
              <w:spacing w:after="0"/>
            </w:pPr>
            <w:r/>
            <w:r>
              <w:rPr>
                <w:b w:val="0"/>
                <w:sz w:val="17"/>
              </w:rPr>
            </w:r>
          </w:p>
        </w:tc>
        <w:tc>
          <w:tcPr>
            <w:tcW w:type="dxa" w:w="519"/>
          </w:tcPr>
          <w:p>
            <w:pPr>
              <w:spacing w:after="0"/>
            </w:pPr>
            <w:r/>
            <w:r>
              <w:rPr>
                <w:b w:val="0"/>
                <w:sz w:val="17"/>
              </w:rPr>
            </w:r>
          </w:p>
        </w:tc>
        <w:tc>
          <w:tcPr>
            <w:tcW w:type="dxa" w:w="519"/>
          </w:tcPr>
          <w:p>
            <w:pPr>
              <w:spacing w:after="0"/>
            </w:pPr>
            <w:r/>
            <w:r>
              <w:rPr>
                <w:b w:val="0"/>
                <w:sz w:val="17"/>
              </w:rPr>
            </w:r>
          </w:p>
        </w:tc>
        <w:tc>
          <w:tcPr>
            <w:tcW w:type="dxa" w:w="2422"/>
          </w:tcPr>
          <w:p>
            <w:pPr>
              <w:spacing w:after="0"/>
            </w:pPr>
            <w:r/>
            <w:r>
              <w:rPr>
                <w:b w:val="0"/>
                <w:sz w:val="17"/>
              </w:rPr>
            </w:r>
          </w:p>
        </w:tc>
      </w:tr>
    </w:tbl>
    <w:p>
      <w:pPr>
        <w:spacing w:after="0" w:before="0"/>
      </w:pPr>
      <w:r>
        <w:rPr>
          <w:b w:val="0"/>
          <w:i w:val="0"/>
          <w:sz w:val="8"/>
        </w:rPr>
      </w:r>
    </w:p>
    <w:p>
      <w:pPr>
        <w:spacing w:after="40" w:before="120"/>
      </w:pPr>
      <w:r>
        <w:rPr>
          <w:b/>
          <w:i w:val="0"/>
          <w:sz w:val="22"/>
        </w:rPr>
        <w:t>4. La décision</w:t>
      </w:r>
    </w:p>
    <w:p>
      <w:pPr>
        <w:spacing w:after="60" w:before="0"/>
      </w:pPr>
      <w:r>
        <w:rPr>
          <w:b w:val="0"/>
          <w:i w:val="0"/>
          <w:sz w:val="19"/>
        </w:rPr>
        <w:t>☐ Conforme : maintenu en service.   ☐ À réparer : retiré du service jusqu'au remplacement de la pièce, par une pièce prévue par la notice.   ☐ Hors service : retiré, rendu inutilisable pour qu'il ne resserve pas, remplacé.</w:t>
      </w:r>
    </w:p>
    <w:tbl>
      <w:tblPr>
        <w:tblStyle w:val="TableGrid"/>
        <w:tblW w:type="auto" w:w="0"/>
        <w:tblLook w:firstColumn="1" w:firstRow="1" w:lastColumn="0" w:lastRow="0" w:noHBand="0" w:noVBand="1" w:val="04A0"/>
      </w:tblPr>
      <w:tblGrid>
        <w:gridCol w:w="5046"/>
        <w:gridCol w:w="5046"/>
      </w:tblGrid>
      <w:tr>
        <w:tc>
          <w:tcPr>
            <w:tcW w:type="dxa" w:w="3628"/>
            <w:shd w:val="clear" w:color="auto" w:fill="F8F6F1"/>
          </w:tcPr>
          <w:p>
            <w:pPr>
              <w:spacing w:after="0"/>
            </w:pPr>
            <w:r/>
            <w:r>
              <w:rPr>
                <w:b/>
                <w:sz w:val="17"/>
              </w:rPr>
              <w:t>Prochain contrôle au plus tard le</w:t>
            </w:r>
          </w:p>
        </w:tc>
        <w:tc>
          <w:tcPr>
            <w:tcW w:type="dxa" w:w="6463"/>
          </w:tcPr>
          <w:p>
            <w:pPr>
              <w:spacing w:after="0"/>
            </w:pPr>
            <w:r/>
            <w:r>
              <w:rPr>
                <w:b w:val="0"/>
                <w:sz w:val="17"/>
              </w:rPr>
            </w:r>
          </w:p>
        </w:tc>
      </w:tr>
      <w:tr>
        <w:tc>
          <w:tcPr>
            <w:tcW w:type="dxa" w:w="3628"/>
            <w:shd w:val="clear" w:color="auto" w:fill="F8F6F1"/>
          </w:tcPr>
          <w:p>
            <w:pPr>
              <w:spacing w:after="0"/>
            </w:pPr>
            <w:r/>
            <w:r>
              <w:rPr>
                <w:b/>
                <w:sz w:val="17"/>
              </w:rPr>
              <w:t>Inscrit au registre de sécurité le</w:t>
            </w:r>
          </w:p>
        </w:tc>
        <w:tc>
          <w:tcPr>
            <w:tcW w:type="dxa" w:w="6463"/>
          </w:tcPr>
          <w:p>
            <w:pPr>
              <w:spacing w:after="0"/>
            </w:pPr>
            <w:r/>
            <w:r>
              <w:rPr>
                <w:b w:val="0"/>
                <w:sz w:val="17"/>
              </w:rPr>
            </w:r>
          </w:p>
        </w:tc>
      </w:tr>
      <w:tr>
        <w:tc>
          <w:tcPr>
            <w:tcW w:type="dxa" w:w="3628"/>
            <w:shd w:val="clear" w:color="auto" w:fill="F8F6F1"/>
          </w:tcPr>
          <w:p>
            <w:pPr>
              <w:spacing w:after="0"/>
            </w:pPr>
            <w:r/>
            <w:r>
              <w:rPr>
                <w:b/>
                <w:sz w:val="17"/>
              </w:rPr>
              <w:t>Signature du vérificateur</w:t>
            </w:r>
          </w:p>
        </w:tc>
        <w:tc>
          <w:tcPr>
            <w:tcW w:type="dxa" w:w="6463"/>
          </w:tcPr>
          <w:p>
            <w:pPr>
              <w:spacing w:after="0"/>
            </w:pPr>
            <w:r/>
            <w:r>
              <w:rPr>
                <w:b w:val="0"/>
                <w:sz w:val="17"/>
              </w:rPr>
            </w:r>
          </w:p>
        </w:tc>
      </w:tr>
    </w:tbl>
    <w:p>
      <w:pPr>
        <w:spacing w:after="0" w:before="0"/>
      </w:pPr>
      <w:r>
        <w:rPr>
          <w:b w:val="0"/>
          <w:i w:val="0"/>
          <w:sz w:val="8"/>
        </w:rPr>
      </w:r>
    </w:p>
    <w:p>
      <w:r>
        <w:br w:type="page"/>
      </w:r>
    </w:p>
    <w:p>
      <w:pPr>
        <w:spacing w:after="80" w:before="0"/>
      </w:pPr>
      <w:r>
        <w:rPr>
          <w:b/>
          <w:i w:val="0"/>
          <w:color w:val="1C4677"/>
          <w:sz w:val="30"/>
        </w:rPr>
        <w:t>Registre annuel du parc d'échelles, d'escabeaux et de PIRL</w:t>
      </w:r>
    </w:p>
    <w:p>
      <w:pPr>
        <w:spacing w:after="60" w:before="0"/>
      </w:pPr>
      <w:r>
        <w:rPr>
          <w:b w:val="0"/>
          <w:i w:val="0"/>
          <w:sz w:val="19"/>
        </w:rPr>
        <w:t>Une ligne par contrôle. Décision : C = conforme, R = à réparer, HS = hors service. À joindre au registre de sécurité de l'établissement.</w:t>
      </w:r>
    </w:p>
    <w:tbl>
      <w:tblPr>
        <w:tblStyle w:val="TableGrid"/>
        <w:tblW w:type="auto" w:w="0"/>
        <w:jc w:val="center"/>
        <w:tblLook w:firstColumn="1" w:firstRow="1" w:lastColumn="0" w:lastRow="0" w:noHBand="0" w:noVBand="1" w:val="04A0"/>
      </w:tblPr>
      <w:tblGrid>
        <w:gridCol w:w="1261"/>
        <w:gridCol w:w="1261"/>
        <w:gridCol w:w="1261"/>
        <w:gridCol w:w="1261"/>
        <w:gridCol w:w="1261"/>
        <w:gridCol w:w="1261"/>
        <w:gridCol w:w="1261"/>
        <w:gridCol w:w="1261"/>
      </w:tblGrid>
      <w:tr>
        <w:tc>
          <w:tcPr>
            <w:tcW w:type="dxa" w:w="692"/>
            <w:shd w:val="clear" w:color="auto" w:fill="EFECE5"/>
          </w:tcPr>
          <w:p>
            <w:pPr>
              <w:spacing w:after="0"/>
            </w:pPr>
            <w:r/>
            <w:r>
              <w:rPr>
                <w:b/>
                <w:sz w:val="17"/>
              </w:rPr>
              <w:t>N°</w:t>
            </w:r>
          </w:p>
        </w:tc>
        <w:tc>
          <w:tcPr>
            <w:tcW w:type="dxa" w:w="2422"/>
            <w:shd w:val="clear" w:color="auto" w:fill="EFECE5"/>
          </w:tcPr>
          <w:p>
            <w:pPr>
              <w:spacing w:after="0"/>
            </w:pPr>
            <w:r/>
            <w:r>
              <w:rPr>
                <w:b/>
                <w:sz w:val="17"/>
              </w:rPr>
              <w:t>Type, marque, modèle</w:t>
            </w:r>
          </w:p>
        </w:tc>
        <w:tc>
          <w:tcPr>
            <w:tcW w:type="dxa" w:w="1499"/>
            <w:shd w:val="clear" w:color="auto" w:fill="EFECE5"/>
          </w:tcPr>
          <w:p>
            <w:pPr>
              <w:spacing w:after="0"/>
            </w:pPr>
            <w:r/>
            <w:r>
              <w:rPr>
                <w:b/>
                <w:sz w:val="17"/>
              </w:rPr>
              <w:t>Affectation</w:t>
            </w:r>
          </w:p>
        </w:tc>
        <w:tc>
          <w:tcPr>
            <w:tcW w:type="dxa" w:w="1153"/>
            <w:shd w:val="clear" w:color="auto" w:fill="EFECE5"/>
          </w:tcPr>
          <w:p>
            <w:pPr>
              <w:spacing w:after="0"/>
            </w:pPr>
            <w:r/>
            <w:r>
              <w:rPr>
                <w:b/>
                <w:sz w:val="17"/>
              </w:rPr>
              <w:t>Contrôlé le</w:t>
            </w:r>
          </w:p>
        </w:tc>
        <w:tc>
          <w:tcPr>
            <w:tcW w:type="dxa" w:w="865"/>
            <w:shd w:val="clear" w:color="auto" w:fill="EFECE5"/>
          </w:tcPr>
          <w:p>
            <w:pPr>
              <w:spacing w:after="0"/>
            </w:pPr>
            <w:r/>
            <w:r>
              <w:rPr>
                <w:b/>
                <w:sz w:val="17"/>
              </w:rPr>
              <w:t>Décision</w:t>
            </w:r>
          </w:p>
        </w:tc>
        <w:tc>
          <w:tcPr>
            <w:tcW w:type="dxa" w:w="1499"/>
            <w:shd w:val="clear" w:color="auto" w:fill="EFECE5"/>
          </w:tcPr>
          <w:p>
            <w:pPr>
              <w:spacing w:after="0"/>
            </w:pPr>
            <w:r/>
            <w:r>
              <w:rPr>
                <w:b/>
                <w:sz w:val="17"/>
              </w:rPr>
              <w:t>Vérificateur</w:t>
            </w:r>
          </w:p>
        </w:tc>
        <w:tc>
          <w:tcPr>
            <w:tcW w:type="dxa" w:w="1269"/>
            <w:shd w:val="clear" w:color="auto" w:fill="EFECE5"/>
          </w:tcPr>
          <w:p>
            <w:pPr>
              <w:spacing w:after="0"/>
            </w:pPr>
            <w:r/>
            <w:r>
              <w:rPr>
                <w:b/>
                <w:sz w:val="17"/>
              </w:rPr>
              <w:t>Prochain contrôle</w:t>
            </w:r>
          </w:p>
        </w:tc>
        <w:tc>
          <w:tcPr>
            <w:tcW w:type="dxa" w:w="692"/>
            <w:shd w:val="clear" w:color="auto" w:fill="EFECE5"/>
          </w:tcPr>
          <w:p>
            <w:pPr>
              <w:spacing w:after="0"/>
            </w:pPr>
            <w:r/>
            <w:r>
              <w:rPr>
                <w:b/>
                <w:sz w:val="17"/>
              </w:rPr>
              <w:t>Visa</w:t>
            </w: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r>
        <w:tc>
          <w:tcPr>
            <w:tcW w:type="dxa" w:w="692"/>
          </w:tcPr>
          <w:p/>
        </w:tc>
        <w:tc>
          <w:tcPr>
            <w:tcW w:type="dxa" w:w="2422"/>
          </w:tcPr>
          <w:p/>
        </w:tc>
        <w:tc>
          <w:tcPr>
            <w:tcW w:type="dxa" w:w="1499"/>
          </w:tcPr>
          <w:p/>
        </w:tc>
        <w:tc>
          <w:tcPr>
            <w:tcW w:type="dxa" w:w="1153"/>
          </w:tcPr>
          <w:p/>
        </w:tc>
        <w:tc>
          <w:tcPr>
            <w:tcW w:type="dxa" w:w="865"/>
          </w:tcPr>
          <w:p/>
        </w:tc>
        <w:tc>
          <w:tcPr>
            <w:tcW w:type="dxa" w:w="1499"/>
          </w:tcPr>
          <w:p/>
        </w:tc>
        <w:tc>
          <w:tcPr>
            <w:tcW w:type="dxa" w:w="1269"/>
          </w:tcPr>
          <w:p/>
        </w:tc>
        <w:tc>
          <w:tcPr>
            <w:tcW w:type="dxa" w:w="692"/>
          </w:tcPr>
          <w:p/>
        </w:tc>
      </w:tr>
    </w:tbl>
    <w:p>
      <w:pPr>
        <w:spacing w:after="0" w:before="0"/>
      </w:pPr>
      <w:r>
        <w:rPr>
          <w:b w:val="0"/>
          <w:i w:val="0"/>
          <w:sz w:val="8"/>
        </w:rPr>
      </w:r>
    </w:p>
    <w:tbl>
      <w:tblPr>
        <w:tblStyle w:val="TableGrid"/>
        <w:tblW w:type="auto" w:w="0"/>
        <w:tblLook w:firstColumn="1" w:firstRow="1" w:lastColumn="0" w:lastRow="0" w:noHBand="0" w:noVBand="1" w:val="04A0"/>
      </w:tblPr>
      <w:tblGrid>
        <w:gridCol w:w="10092"/>
      </w:tblGrid>
      <w:tr>
        <w:tc>
          <w:tcPr>
            <w:tcW w:type="dxa" w:w="10092"/>
          </w:tcPr>
          <w:p>
            <w:pPr>
              <w:spacing w:after="0"/>
            </w:pPr>
            <w:r/>
            <w:r>
              <w:rPr>
                <w:b/>
                <w:sz w:val="18"/>
              </w:rPr>
              <w:t>Avant chaque utilisation : le contrôle de l'utilisateur</w:t>
            </w:r>
          </w:p>
          <w:p>
            <w:r>
              <w:rPr>
                <w:sz w:val="17"/>
              </w:rPr>
              <w:t>En début de journée et après tout incident (échelle tombée, passage d'un sol sale à un sol lisse) : montants, patins, échelons ou marches, verrous enclenchés, plateforme, marches propres.</w:t>
            </w:r>
          </w:p>
          <w:p>
            <w:r>
              <w:rPr>
                <w:sz w:val="17"/>
              </w:rPr>
              <w:t>Au moindre défaut : ne pas utiliser l'équipement et prévenir le responsable (repères du HSE britannique).</w:t>
            </w:r>
          </w:p>
        </w:tc>
      </w:tr>
    </w:tbl>
    <w:p>
      <w:pPr>
        <w:spacing w:after="0" w:before="0"/>
      </w:pPr>
      <w:r>
        <w:rPr>
          <w:b w:val="0"/>
          <w:i w:val="0"/>
          <w:sz w:val="8"/>
        </w:rPr>
      </w:r>
    </w:p>
    <w:tbl>
      <w:tblPr>
        <w:tblStyle w:val="TableGrid"/>
        <w:tblW w:type="auto" w:w="0"/>
        <w:tblLook w:firstColumn="1" w:firstRow="1" w:lastColumn="0" w:lastRow="0" w:noHBand="0" w:noVBand="1" w:val="04A0"/>
      </w:tblPr>
      <w:tblGrid>
        <w:gridCol w:w="10092"/>
      </w:tblGrid>
      <w:tr>
        <w:tc>
          <w:tcPr>
            <w:tcW w:type="dxa" w:w="10092"/>
          </w:tcPr>
          <w:p>
            <w:pPr>
              <w:spacing w:after="0"/>
            </w:pPr>
            <w:r/>
            <w:r>
              <w:rPr>
                <w:b/>
                <w:sz w:val="18"/>
              </w:rPr>
              <w:t>Ce que dit la règle</w:t>
            </w:r>
          </w:p>
          <w:p>
            <w:r>
              <w:rPr>
                <w:sz w:val="17"/>
              </w:rPr>
              <w:t>Aucun texte ne fixe de périodicité de vérification pour les échelles, escabeaux, PIR et PIRL : l'employeur doit les maintenir en état de conformité, notice comprise (Code du travail, article R4322-1).</w:t>
            </w:r>
          </w:p>
          <w:p>
            <w:r>
              <w:rPr>
                <w:sz w:val="17"/>
              </w:rPr>
              <w:t>L'OPPBTP recommande un examen de l'état de conservation au moins tous les 12 mois, consigné au registre de sécurité. Sur un chantier, le matériel est examiné avant sa mise ou remise en service, puis aussi souvent que nécessaire (articles R4534-15 et R4534-16).</w:t>
            </w:r>
          </w:p>
        </w:tc>
      </w:tr>
    </w:tbl>
    <w:p>
      <w:pPr>
        <w:spacing w:after="0" w:before="0"/>
      </w:pPr>
      <w:r>
        <w:rPr>
          <w:b w:val="0"/>
          <w:i w:val="0"/>
          <w:sz w:val="8"/>
        </w:rPr>
      </w:r>
    </w:p>
    <w:sectPr w:rsidR="00FC693F" w:rsidRPr="0006063C" w:rsidSect="00034616">
      <w:footerReference w:type="default" r:id="rId9"/>
      <w:pgSz w:w="11906" w:h="16838"/>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07172"/>
        <w:sz w:val="15"/>
      </w:rPr>
      <w:t>Échelle.com · Version 1.0 du 1er octobre 2026 · modèle générique à adapter, sans inscription · echelle.com/pro/documents/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contrôle d'échelle, d'escabeau ou de PIRL</dc:title>
  <dc:subject/>
  <dc:creator>Échelle.com</dc:creator>
  <cp:keywords/>
  <dc:description>Modèle générique, à adapter à votre chantier et à votre évaluation des risques. Il ne remplace ni la notice du fabricant ni les documents exigés par votre client ou votre organisme de prévention. Version 1.0 du 1er octobre 2026</dc:description>
  <cp:lastModifiedBy/>
  <cp:revision>1</cp:revision>
  <dcterms:created xsi:type="dcterms:W3CDTF">2013-12-23T23:15:00Z</dcterms:created>
  <dcterms:modified xsi:type="dcterms:W3CDTF">2013-12-23T23:15:00Z</dcterms:modified>
  <cp:category/>
</cp:coreProperties>
</file>